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Sub-Processor List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Data Controller: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Processing Agreement (`DATA_PROCESSING_AGREEMENT.md`)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Vendor Contacts Directory (`VENDOR_CONTACTS.md`)</w:t>
      </w:r>
    </w:p>
    <w:p>
      <w:pPr>
        <w:pStyle w:val="ListParagraph"/>
        <w:numPr>
          <w:ilvl w:val="0"/>
          <w:numId w:val="1"/>
        </w:numPr>
      </w:pPr>
      <w:r>
        <w:t xml:space="preserve">Third-Party Risk Assessment (`THIRD_PARTY_RISK_ASSESSMENT.md`)</w:t>
      </w:r>
    </w:p>
    <w:p>
      <w:pPr>
        <w:pStyle w:val="ListParagraph"/>
        <w:numPr>
          <w:ilvl w:val="0"/>
          <w:numId w:val="1"/>
        </w:numPr>
      </w:pPr>
      <w:r>
        <w:t xml:space="preserve">Transfer Impact Assessment (`TRANSFER_IMPACT_ASSESSMENT.md`)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document lists the third-party sub-processors that process personal data on behalf of Acme Inc in connection with the operation of this application. Each sub-processor has been assessed for compliance with applicable data protection requirements.</w:t>
      </w:r>
    </w:p>
    <w:p>
      <w:r>
        <w:t xml:space="preserve">For questions about our sub-processors, contact us at legal@acme.com.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Sub-Processors</w:t>
      </w:r>
    </w:p>
    <w:p>
      <w:r>
        <w:rPr>
          <w:sz w:val="20"/>
        </w:rPr>
        <w:t xml:space="preserve">Sub-Processor  |  Purpose  |  Data Processed  |  Location  |  Privacy Policy</w:t>
      </w:r>
    </w:p>
    <w:p>
      <w:r>
        <w:rPr>
          <w:sz w:val="20"/>
        </w:rPr>
        <w:t xml:space="preserve">Sentry  |  Error tracking and performance monitoring  |  error data, stack traces, user context, device information, IP address  |  US  |  [Link](https://sentry.io/privacy/)</w:t>
      </w:r>
    </w:p>
    <w:p>
      <w:r>
        <w:rPr>
          <w:sz w:val="20"/>
        </w:rPr>
        <w:t xml:space="preserve">Supabase  |  User authentication and identity management  |  email, password hash, session data, user metadata  |  US  |  [Link](https://supabase.com/privacy)</w:t>
      </w:r>
    </w:p>
    <w:p>
      <w:r>
        <w:rPr>
          <w:sz w:val="20"/>
        </w:rPr>
        <w:t xml:space="preserve">OpenAI  |  AI processing and content generation  |  user prompts, conversation history, generated content  |  US  |  [Link](https://openai.com/policies/privacy-policy)</w:t>
      </w:r>
    </w:p>
    <w:p>
      <w:r>
        <w:rPr>
          <w:sz w:val="20"/>
        </w:rPr>
        <w:t xml:space="preserve">PostHog  |  Product analytics and usage tracking  |  user behavior, session recordings, feature flag usage, device information  |  US  |  [Link](https://posthog.com/privacy)</w:t>
      </w:r>
    </w:p>
    <w:p>
      <w:r>
        <w:rPr>
          <w:sz w:val="20"/>
        </w:rPr>
        <w:t xml:space="preserve">Resend  |  Transactional and marketing email delivery  |  email addresses, email content  |  US  |  [Link](https://resend.com/legal/privacy-policy)</w:t>
      </w:r>
    </w:p>
    <w:p>
      <w:r>
        <w:rPr>
          <w:sz w:val="20"/>
        </w:rPr>
        <w:t xml:space="preserve">Stripe  |  Payment processing and billing  |  payment information, billing address, email, transaction history  |  US  |  [Link](https://stripe.com/privacy)</w:t>
      </w:r>
    </w:p>
    <w:p>
      <w:r>
        <w:rPr>
          <w:sz w:val="20"/>
        </w:rPr>
        <w:t xml:space="preserve">stripe-ios  |  Payment processing and billing  |  payment information, billing address, email, transaction history  |  US  |  [Link](#)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Changes to This List</w:t>
      </w:r>
    </w:p>
    <w:p>
      <w:r>
        <w:t xml:space="preserve">We may update this sub-processor list from time to time to reflect changes in the third-party services we use. Material changes will be communicated in accordance with our Data Processing Agreement.</w:t>
      </w:r>
    </w:p>
    <w:p>
      <w:pPr>
        <w:pStyle w:val="Heading2"/>
      </w:pPr>
      <w:r>
        <w:t>How to Object</w:t>
      </w:r>
    </w:p>
    <w:p>
      <w:r>
        <w:t xml:space="preserve">If you have concerns about a sub-processor, please contact us at legal@acme.com. Under our Data Processing Agreement, you may object to the appointment of a new sub-processor.</w:t>
      </w:r>
    </w:p>
    <w:p>
      <w:pPr>
        <w:pBdr>
          <w:bottom w:val="single" w:sz="6" w:space="1" w:color="999999"/>
        </w:pBdr>
      </w:pPr>
    </w:p>
    <w:p>
      <w:r>
        <w:t xml:space="preserve">This sub-processor list was generated by [Codepliant](https://github.com/joechensmartz/codepliant) based on automated code analysis. Review and verify all entries for accuracy.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